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600" w:lineRule="exact"/>
        <w:jc w:val="left"/>
        <w:rPr>
          <w:rFonts w:hint="eastAsia" w:ascii="Times New Roman" w:hAnsi="Times New Roman" w:eastAsia="仿宋_GB2312" w:cs="Times New Roman"/>
          <w:sz w:val="22"/>
          <w:szCs w:val="22"/>
          <w:lang w:eastAsia="zh-CN"/>
        </w:rPr>
      </w:pPr>
    </w:p>
    <w:p>
      <w:pPr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p>
      <w:pPr>
        <w:jc w:val="center"/>
        <w:rPr>
          <w:rFonts w:hint="default" w:ascii="Times New Roman" w:hAnsi="Times New Roman" w:eastAsia="方正小标宋_GBK" w:cs="Times New Roman"/>
          <w:sz w:val="52"/>
          <w:szCs w:val="52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202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5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年度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岳阳市民政局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整体支出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绩效自评报告</w:t>
      </w:r>
    </w:p>
    <w:p>
      <w:pPr>
        <w:jc w:val="center"/>
        <w:rPr>
          <w:rFonts w:hint="default" w:ascii="Times New Roman" w:hAnsi="Times New Roman" w:eastAsia="方正小标宋_GBK" w:cs="Times New Roman"/>
          <w:b/>
          <w:sz w:val="52"/>
          <w:szCs w:val="52"/>
        </w:rPr>
      </w:pPr>
    </w:p>
    <w:p>
      <w:pPr>
        <w:jc w:val="center"/>
        <w:rPr>
          <w:rFonts w:hint="default" w:ascii="Times New Roman" w:hAnsi="Times New Roman" w:eastAsia="楷体_GB2312" w:cs="Times New Roman"/>
          <w:b/>
          <w:sz w:val="32"/>
          <w:szCs w:val="32"/>
        </w:rPr>
      </w:pPr>
    </w:p>
    <w:p>
      <w:pPr>
        <w:jc w:val="center"/>
        <w:rPr>
          <w:rFonts w:hint="default" w:ascii="Times New Roman" w:hAnsi="Times New Roman" w:eastAsia="楷体_GB2312" w:cs="Times New Roman"/>
          <w:b/>
          <w:sz w:val="32"/>
          <w:szCs w:val="32"/>
        </w:rPr>
      </w:pPr>
    </w:p>
    <w:p>
      <w:pPr>
        <w:jc w:val="center"/>
        <w:rPr>
          <w:rFonts w:hint="default" w:ascii="Times New Roman" w:hAnsi="Times New Roman" w:eastAsia="楷体_GB2312" w:cs="Times New Roman"/>
          <w:b/>
          <w:sz w:val="32"/>
          <w:szCs w:val="32"/>
        </w:rPr>
      </w:pPr>
    </w:p>
    <w:p>
      <w:pPr>
        <w:jc w:val="center"/>
        <w:rPr>
          <w:rFonts w:hint="default" w:ascii="Times New Roman" w:hAnsi="Times New Roman" w:eastAsia="楷体_GB2312" w:cs="Times New Roman"/>
          <w:b/>
          <w:sz w:val="32"/>
          <w:szCs w:val="32"/>
        </w:rPr>
      </w:pPr>
    </w:p>
    <w:p>
      <w:pPr>
        <w:jc w:val="center"/>
        <w:rPr>
          <w:rFonts w:hint="default" w:ascii="Times New Roman" w:hAnsi="Times New Roman" w:eastAsia="楷体_GB2312" w:cs="Times New Roman"/>
          <w:b/>
          <w:sz w:val="32"/>
          <w:szCs w:val="32"/>
        </w:rPr>
      </w:pPr>
    </w:p>
    <w:p>
      <w:pPr>
        <w:jc w:val="center"/>
        <w:rPr>
          <w:rFonts w:hint="default" w:ascii="Times New Roman" w:hAnsi="Times New Roman" w:eastAsia="楷体_GB2312" w:cs="Times New Roman"/>
          <w:b/>
          <w:sz w:val="32"/>
          <w:szCs w:val="32"/>
        </w:rPr>
      </w:pPr>
    </w:p>
    <w:p>
      <w:pPr>
        <w:jc w:val="center"/>
        <w:rPr>
          <w:rFonts w:hint="default" w:ascii="Times New Roman" w:hAnsi="Times New Roman" w:eastAsia="黑体" w:cs="Times New Roman"/>
          <w:sz w:val="32"/>
          <w:szCs w:val="32"/>
        </w:rPr>
      </w:pPr>
    </w:p>
    <w:p>
      <w:pPr>
        <w:jc w:val="center"/>
        <w:rPr>
          <w:rFonts w:hint="default" w:ascii="Times New Roman" w:hAnsi="Times New Roman" w:eastAsia="黑体" w:cs="Times New Roman"/>
          <w:sz w:val="32"/>
          <w:szCs w:val="32"/>
        </w:rPr>
      </w:pPr>
    </w:p>
    <w:p>
      <w:pPr>
        <w:jc w:val="center"/>
        <w:rPr>
          <w:rFonts w:hint="default" w:ascii="Times New Roman" w:hAnsi="Times New Roman" w:eastAsia="黑体" w:cs="Times New Roman"/>
          <w:sz w:val="32"/>
          <w:szCs w:val="32"/>
        </w:rPr>
      </w:pPr>
    </w:p>
    <w:p>
      <w:pPr>
        <w:jc w:val="center"/>
        <w:rPr>
          <w:rFonts w:hint="default" w:ascii="Times New Roman" w:hAnsi="Times New Roman" w:eastAsia="黑体" w:cs="Times New Roman"/>
          <w:sz w:val="32"/>
          <w:szCs w:val="32"/>
        </w:rPr>
      </w:pPr>
    </w:p>
    <w:p>
      <w:pPr>
        <w:jc w:val="center"/>
        <w:rPr>
          <w:rFonts w:hint="default" w:ascii="Times New Roman" w:hAnsi="Times New Roman" w:eastAsia="黑体" w:cs="Times New Roman"/>
          <w:sz w:val="32"/>
          <w:szCs w:val="32"/>
        </w:rPr>
      </w:pPr>
    </w:p>
    <w:p>
      <w:pPr>
        <w:jc w:val="center"/>
        <w:rPr>
          <w:rFonts w:hint="default" w:ascii="Times New Roman" w:hAnsi="Times New Roman" w:eastAsia="黑体" w:cs="Times New Roman"/>
          <w:sz w:val="32"/>
          <w:szCs w:val="32"/>
        </w:rPr>
      </w:pPr>
    </w:p>
    <w:p>
      <w:pPr>
        <w:jc w:val="center"/>
        <w:rPr>
          <w:rFonts w:hint="default" w:ascii="Times New Roman" w:hAnsi="Times New Roman" w:eastAsia="黑体" w:cs="Times New Roman"/>
          <w:sz w:val="32"/>
          <w:szCs w:val="32"/>
        </w:rPr>
      </w:pPr>
    </w:p>
    <w:p>
      <w:pPr>
        <w:jc w:val="center"/>
        <w:rPr>
          <w:rFonts w:hint="default" w:ascii="Times New Roman" w:hAnsi="Times New Roman" w:eastAsia="黑体" w:cs="Times New Roman"/>
          <w:sz w:val="32"/>
          <w:szCs w:val="32"/>
        </w:rPr>
      </w:pPr>
    </w:p>
    <w:p>
      <w:pPr>
        <w:jc w:val="center"/>
        <w:rPr>
          <w:rFonts w:hint="default" w:ascii="Times New Roman" w:hAnsi="Times New Roman" w:eastAsia="黑体" w:cs="Times New Roman"/>
          <w:sz w:val="32"/>
          <w:szCs w:val="32"/>
        </w:rPr>
      </w:pPr>
    </w:p>
    <w:p>
      <w:pPr>
        <w:jc w:val="center"/>
        <w:rPr>
          <w:rFonts w:hint="default" w:ascii="Times New Roman" w:hAnsi="Times New Roman" w:eastAsia="黑体" w:cs="Times New Roman"/>
          <w:sz w:val="32"/>
          <w:szCs w:val="32"/>
        </w:rPr>
      </w:pPr>
    </w:p>
    <w:p>
      <w:pPr>
        <w:spacing w:line="600" w:lineRule="exact"/>
        <w:jc w:val="center"/>
        <w:rPr>
          <w:rFonts w:hint="default" w:ascii="Times New Roman" w:hAnsi="Times New Roman" w:eastAsia="仿宋_GB2312" w:cs="Times New Roman"/>
          <w:sz w:val="32"/>
          <w:szCs w:val="32"/>
          <w:u w:val="single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部门（单位）名称：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  <w:lang w:eastAsia="zh-CN"/>
        </w:rPr>
        <w:t>岳阳市民政局</w:t>
      </w:r>
    </w:p>
    <w:p>
      <w:pPr>
        <w:spacing w:line="600" w:lineRule="exact"/>
        <w:jc w:val="center"/>
        <w:rPr>
          <w:rFonts w:hint="default" w:ascii="Times New Roman" w:hAnsi="Times New Roman" w:eastAsia="楷体_GB2312" w:cs="Times New Roman"/>
          <w:sz w:val="32"/>
          <w:szCs w:val="32"/>
        </w:rPr>
      </w:pPr>
      <w:r>
        <w:rPr>
          <w:rFonts w:hint="eastAsia" w:ascii="Times New Roman" w:hAnsi="Times New Roman" w:eastAsia="楷体_GB2312" w:cs="Times New Roman"/>
          <w:sz w:val="32"/>
          <w:szCs w:val="32"/>
          <w:lang w:val="en-US" w:eastAsia="zh-CN"/>
        </w:rPr>
        <w:t>2026</w:t>
      </w:r>
      <w:r>
        <w:rPr>
          <w:rFonts w:hint="default" w:ascii="Times New Roman" w:hAnsi="Times New Roman" w:eastAsia="楷体_GB2312" w:cs="Times New Roman"/>
          <w:sz w:val="32"/>
          <w:szCs w:val="32"/>
        </w:rPr>
        <w:t>年</w:t>
      </w:r>
      <w:r>
        <w:rPr>
          <w:rFonts w:hint="eastAsia" w:ascii="Times New Roman" w:hAnsi="Times New Roman" w:eastAsia="楷体_GB2312" w:cs="Times New Roman"/>
          <w:sz w:val="32"/>
          <w:szCs w:val="32"/>
          <w:lang w:val="en-US" w:eastAsia="zh-CN"/>
        </w:rPr>
        <w:t>4</w:t>
      </w:r>
      <w:r>
        <w:rPr>
          <w:rFonts w:hint="default" w:ascii="Times New Roman" w:hAnsi="Times New Roman" w:eastAsia="楷体_GB2312" w:cs="Times New Roman"/>
          <w:sz w:val="32"/>
          <w:szCs w:val="32"/>
        </w:rPr>
        <w:t>月</w:t>
      </w:r>
      <w:r>
        <w:rPr>
          <w:rFonts w:hint="eastAsia" w:ascii="Times New Roman" w:hAnsi="Times New Roman" w:eastAsia="楷体_GB2312" w:cs="Times New Roman"/>
          <w:sz w:val="32"/>
          <w:szCs w:val="32"/>
          <w:lang w:val="en-US" w:eastAsia="zh-CN"/>
        </w:rPr>
        <w:t>9</w:t>
      </w:r>
      <w:r>
        <w:rPr>
          <w:rFonts w:hint="default" w:ascii="Times New Roman" w:hAnsi="Times New Roman" w:eastAsia="楷体_GB2312" w:cs="Times New Roman"/>
          <w:sz w:val="32"/>
          <w:szCs w:val="32"/>
        </w:rPr>
        <w:t>日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br w:type="page"/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202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5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年度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岳阳市民政局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整体支出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绩效自评报告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根据岳阳市预算绩效管理领导小组办公室《岳阳市财政局关于开展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2025年度市级预算支出绩效自评工作的通知》要求，我局组织各科室、直属单位，认真开展了2025年度单位市级财政预算资金绩效自评工作。现将自评工作开展及自评情况报告如下：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单位基本情况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单位职能职责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3" w:lineRule="atLeast"/>
        <w:ind w:left="0" w:right="0" w:firstLine="420"/>
        <w:jc w:val="both"/>
        <w:textAlignment w:val="center"/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 w:bidi="ar-SA"/>
        </w:rPr>
        <w:t>1、制定全市民政事业中、长期发展规划和年度计划，研究制定全市民政工作有关政策、规章的实施细则与办法并负责组织实施检查。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3" w:lineRule="atLeast"/>
        <w:ind w:left="0" w:right="0" w:firstLine="420"/>
        <w:jc w:val="both"/>
        <w:textAlignment w:val="center"/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 w:bidi="ar-SA"/>
        </w:rPr>
        <w:t>2、制定全市社会组织登记和监督管理办法并组织实施，依法对社会组织进行登记和执法监督。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3" w:lineRule="atLeast"/>
        <w:ind w:left="0" w:right="0" w:firstLine="420"/>
        <w:jc w:val="both"/>
        <w:textAlignment w:val="center"/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 w:bidi="ar-SA"/>
        </w:rPr>
        <w:t>3、拟定全市社会救助政策、标准、统筹社会救助体系建设、负责城乡居民最低生活保障、特困人员救助供养、临时救助工作；负责农村敬老院建设工作；负责本行政区域内低收入家庭收入核查统计认定工作。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3" w:lineRule="atLeast"/>
        <w:ind w:left="0" w:right="0" w:firstLine="420"/>
        <w:jc w:val="both"/>
        <w:textAlignment w:val="center"/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 w:bidi="ar-SA"/>
        </w:rPr>
        <w:t>4、拟定全市城乡基层群众自治建设和社区治理政策，指导组织城乡社区建设和服务管理，推动村（居）务公开和基层民主政治建设。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3" w:lineRule="atLeast"/>
        <w:ind w:left="0" w:right="0" w:firstLine="420"/>
        <w:jc w:val="both"/>
        <w:textAlignment w:val="center"/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 w:bidi="ar-SA"/>
        </w:rPr>
        <w:t>5、贯彻执行国家关于地名工作的方针、政策、法律、法规；落实全国地名工作规划；承担本辖区地名的命名、更名、变更和政府驻地迁移审核工作；推行地名标准化、规范化；设置地名标志；管理地名档案；完成国家其他地名工作任务；负责行政区划界线的勘定和管理等具体工作；负责全市法定行政区划界线争议的调查和处理工作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3" w:lineRule="atLeast"/>
        <w:ind w:left="0" w:right="0" w:firstLine="420"/>
        <w:jc w:val="both"/>
        <w:textAlignment w:val="center"/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 w:bidi="ar-SA"/>
        </w:rPr>
        <w:t>6、贯彻执行国家的婚姻登记、殡葬管理政策并组织实施；推进婚俗和殡葬改革；指导婚姻、殡葬服务机构管理工作；指导生活无着流浪乞讨人员救助站管理站的建设，协调跨省及跨市州的生活无着流浪乞讨人员救助工作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3" w:lineRule="atLeast"/>
        <w:ind w:left="0" w:right="0" w:firstLine="420"/>
        <w:jc w:val="both"/>
        <w:textAlignment w:val="center"/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 w:bidi="ar-SA"/>
        </w:rPr>
        <w:t>7、制定全市社会福利事业发展规划；指导全市社会福利机构的建设和管理；拟定社会福利企业认定标准和扶持政策；指导老年人、残疾人等特殊群里的权益保障工作；统筹推进残疾人福利制度和康复辅助器具产业发展；拟定福利彩票发行管理具体实施办法并指导使用；组织拟定促进慈善事业发展规划、政策；组织、指导社会捐助工作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3" w:lineRule="atLeast"/>
        <w:ind w:left="0" w:right="0" w:firstLine="420"/>
        <w:jc w:val="both"/>
        <w:textAlignment w:val="center"/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 w:bidi="ar-SA"/>
        </w:rPr>
        <w:t>8、拟定儿童福利、孤弃儿童保障、儿童收养、儿童救助保护的政策、标准，负责实施收养方面的法律、法规，健全农村留守儿童关爱服务体系和困境儿童保障制度。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3" w:lineRule="atLeast"/>
        <w:ind w:left="0" w:right="0" w:firstLine="420"/>
        <w:jc w:val="both"/>
        <w:textAlignment w:val="center"/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 w:bidi="ar-SA"/>
        </w:rPr>
        <w:t>9、会同有关部门按拟定全市社会工作规范性文件草案和发展规划、职业规划，推进社会工作人才队伍建设和相关志愿者队伍建设；指导全市基层民政干部职工队伍建设；推进民政科技和民政行业标准化工作。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3" w:lineRule="atLeast"/>
        <w:ind w:left="0" w:right="0" w:firstLine="420"/>
        <w:jc w:val="both"/>
        <w:textAlignment w:val="center"/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 w:bidi="ar-SA"/>
        </w:rPr>
        <w:t>10、负责全市民政事业经费的管理、审计和监督；负责民政统计工作。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3" w:lineRule="atLeast"/>
        <w:ind w:left="0" w:right="0" w:firstLine="420"/>
        <w:jc w:val="both"/>
        <w:textAlignment w:val="center"/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 w:bidi="ar-SA"/>
        </w:rPr>
        <w:t>11、完成市委、市人民政府交办的其他事项。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3" w:lineRule="atLeast"/>
        <w:ind w:left="0" w:right="0" w:firstLine="800" w:firstLineChars="250"/>
        <w:jc w:val="both"/>
        <w:textAlignment w:val="center"/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 w:bidi="ar-SA"/>
        </w:rPr>
        <w:t>（二）机构设置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3" w:lineRule="atLeast"/>
        <w:ind w:left="0" w:right="0" w:firstLine="420"/>
        <w:jc w:val="both"/>
        <w:rPr>
          <w:rFonts w:hint="eastAsia" w:ascii="Times New Roman" w:hAnsi="Times New Roman" w:eastAsia="仿宋_GB2312" w:cs="仿宋_GB2312"/>
          <w:color w:val="auto"/>
          <w:kern w:val="0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仿宋_GB2312"/>
          <w:color w:val="auto"/>
          <w:kern w:val="0"/>
          <w:sz w:val="32"/>
          <w:szCs w:val="32"/>
          <w:lang w:val="en-US" w:eastAsia="zh-CN" w:bidi="ar-SA"/>
        </w:rPr>
        <w:t>根据编委核定，我局内设科室12个，预算公开范围局机关。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3" w:lineRule="atLeast"/>
        <w:ind w:left="0" w:right="0" w:firstLine="420"/>
        <w:jc w:val="both"/>
        <w:rPr>
          <w:rFonts w:hint="eastAsia" w:ascii="仿宋" w:hAnsi="仿宋" w:eastAsia="仿宋" w:cs="仿宋"/>
          <w:b w:val="0"/>
          <w:bCs w:val="0"/>
          <w:color w:val="auto"/>
          <w:sz w:val="30"/>
          <w:szCs w:val="30"/>
          <w:lang w:eastAsia="zh-CN"/>
        </w:rPr>
      </w:pPr>
      <w:r>
        <w:rPr>
          <w:rFonts w:hint="eastAsia" w:ascii="Times New Roman" w:hAnsi="Times New Roman" w:eastAsia="仿宋_GB2312" w:cs="仿宋_GB2312"/>
          <w:color w:val="auto"/>
          <w:kern w:val="0"/>
          <w:sz w:val="32"/>
          <w:szCs w:val="32"/>
          <w:lang w:val="en-US" w:eastAsia="zh-CN" w:bidi="ar-SA"/>
        </w:rPr>
        <w:t>内设科室分别是：办公室（信访科）、规划财务科、政策法规科(行政审批科）、社会组织管理科（社会组织执法监督局，对外称岳阳市社会组织管理局）、社会救助科（对外称岳阳市社会救助局）、社会事务科、区划地名和老区科、慈善事业促进科、养老服务科、儿童福利科、离退休人员管理服务科（人事科)、老龄工作科、机关党委(纪委）。</w:t>
      </w:r>
    </w:p>
    <w:p>
      <w:pPr>
        <w:pStyle w:val="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二、一般公共预算支出情况</w:t>
      </w:r>
    </w:p>
    <w:p>
      <w:pPr>
        <w:pStyle w:val="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3" w:firstLineChars="200"/>
        <w:jc w:val="both"/>
        <w:textAlignment w:val="auto"/>
        <w:rPr>
          <w:rFonts w:hint="default" w:ascii="Times New Roman" w:hAnsi="Times New Roman" w:eastAsia="楷体_GB2312" w:cs="Times New Roman"/>
          <w:b/>
          <w:sz w:val="32"/>
          <w:szCs w:val="32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</w:rPr>
        <w:t>（一）基本支出情况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仿宋_GB2312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color w:val="auto"/>
          <w:kern w:val="0"/>
          <w:sz w:val="32"/>
          <w:szCs w:val="32"/>
          <w:lang w:val="en-US" w:eastAsia="zh-CN" w:bidi="ar-SA"/>
        </w:rPr>
        <w:t>2025年基本支出共1987.3万元。基本支出系保障我局机关机构正常运转、完成日常工作任务而发生的各项支出，包括用于在职和离退休人员基本工资、津贴补贴等人员经费以及办公费、印刷费、水电费、办公设备购置等日常公用经费。</w:t>
      </w:r>
    </w:p>
    <w:p>
      <w:pPr>
        <w:pStyle w:val="8"/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0" w:leftChars="0" w:firstLine="643" w:firstLineChars="200"/>
        <w:jc w:val="both"/>
        <w:textAlignment w:val="auto"/>
        <w:rPr>
          <w:rFonts w:hint="default" w:ascii="Times New Roman" w:hAnsi="Times New Roman" w:eastAsia="楷体_GB2312" w:cs="Times New Roman"/>
          <w:b/>
          <w:sz w:val="32"/>
          <w:szCs w:val="32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</w:rPr>
        <w:t>项目支出情况</w:t>
      </w:r>
    </w:p>
    <w:p>
      <w:pPr>
        <w:pStyle w:val="8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Times New Roman" w:hAnsi="Times New Roman" w:eastAsia="楷体_GB2312" w:cs="Times New Roman"/>
          <w:b/>
          <w:color w:val="auto"/>
          <w:sz w:val="32"/>
          <w:szCs w:val="32"/>
          <w:lang w:val="en-US"/>
        </w:rPr>
      </w:pPr>
      <w:r>
        <w:rPr>
          <w:rFonts w:hint="eastAsia" w:ascii="Times New Roman" w:hAnsi="Times New Roman" w:eastAsia="仿宋_GB2312" w:cs="仿宋_GB2312"/>
          <w:color w:val="auto"/>
          <w:kern w:val="0"/>
          <w:sz w:val="32"/>
          <w:szCs w:val="32"/>
          <w:lang w:val="en-US" w:eastAsia="zh-CN" w:bidi="ar-SA"/>
        </w:rPr>
        <w:t>2025年项目支出共1508.27万元。</w:t>
      </w:r>
      <w:r>
        <w:rPr>
          <w:rFonts w:hint="eastAsia" w:ascii="Times New Roman" w:hAnsi="Times New Roman" w:eastAsia="仿宋_GB2312" w:cs="仿宋_GB2312"/>
          <w:color w:val="auto"/>
          <w:kern w:val="0"/>
          <w:sz w:val="32"/>
          <w:szCs w:val="32"/>
          <w:lang w:val="en-US" w:eastAsia="zh-CN"/>
        </w:rPr>
        <w:t>2025年预算批复1个特定目标类项目，日常工作经费168.15万元，2025年支出167.79万元。</w:t>
      </w:r>
    </w:p>
    <w:p>
      <w:pPr>
        <w:pStyle w:val="8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0" w:leftChars="0" w:firstLine="640" w:firstLineChars="200"/>
        <w:jc w:val="both"/>
        <w:textAlignment w:val="auto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政府性基金预算支出情况</w:t>
      </w:r>
    </w:p>
    <w:p>
      <w:pPr>
        <w:widowControl/>
        <w:spacing w:line="580" w:lineRule="exact"/>
        <w:ind w:firstLine="640" w:firstLineChars="200"/>
        <w:rPr>
          <w:rFonts w:hint="eastAsia" w:ascii="Times New Roman" w:hAnsi="Times New Roman" w:eastAsia="仿宋_GB2312" w:cs="Times New Roman"/>
          <w:color w:val="auto"/>
          <w:sz w:val="32"/>
          <w:szCs w:val="32"/>
          <w:lang w:eastAsia="zh-CN"/>
        </w:rPr>
      </w:pPr>
      <w:r>
        <w:rPr>
          <w:rFonts w:ascii="Times New Roman" w:hAnsi="Times New Roman" w:eastAsia="仿宋_GB2312" w:cs="Times New Roman"/>
          <w:bCs/>
          <w:snapToGrid w:val="0"/>
          <w:color w:val="auto"/>
          <w:kern w:val="0"/>
          <w:sz w:val="32"/>
          <w:szCs w:val="32"/>
        </w:rPr>
        <w:t>20</w:t>
      </w:r>
      <w:r>
        <w:rPr>
          <w:rFonts w:hint="eastAsia" w:ascii="Times New Roman" w:hAnsi="Times New Roman" w:eastAsia="仿宋_GB2312" w:cs="Times New Roman"/>
          <w:bCs/>
          <w:snapToGrid w:val="0"/>
          <w:color w:val="auto"/>
          <w:kern w:val="0"/>
          <w:sz w:val="32"/>
          <w:szCs w:val="32"/>
          <w:lang w:val="en-US" w:eastAsia="zh-CN"/>
        </w:rPr>
        <w:t>25</w:t>
      </w:r>
      <w:r>
        <w:rPr>
          <w:rFonts w:ascii="Times New Roman" w:hAnsi="Times New Roman" w:eastAsia="仿宋_GB2312" w:cs="Times New Roman"/>
          <w:bCs/>
          <w:snapToGrid w:val="0"/>
          <w:color w:val="auto"/>
          <w:kern w:val="0"/>
          <w:sz w:val="32"/>
          <w:szCs w:val="32"/>
        </w:rPr>
        <w:t>年政府性基金预算支出</w:t>
      </w:r>
      <w:r>
        <w:rPr>
          <w:rFonts w:hint="eastAsia" w:ascii="Times New Roman" w:hAnsi="Times New Roman" w:eastAsia="仿宋_GB2312" w:cs="Times New Roman"/>
          <w:bCs/>
          <w:snapToGrid w:val="0"/>
          <w:color w:val="auto"/>
          <w:kern w:val="0"/>
          <w:sz w:val="32"/>
          <w:szCs w:val="32"/>
          <w:lang w:val="en-US" w:eastAsia="zh-CN"/>
        </w:rPr>
        <w:t>637.4</w:t>
      </w:r>
      <w:bookmarkStart w:id="0" w:name="_GoBack"/>
      <w:bookmarkEnd w:id="0"/>
      <w:r>
        <w:rPr>
          <w:rFonts w:ascii="Times New Roman" w:hAnsi="Times New Roman" w:eastAsia="仿宋_GB2312" w:cs="Times New Roman"/>
          <w:bCs/>
          <w:snapToGrid w:val="0"/>
          <w:color w:val="auto"/>
          <w:kern w:val="0"/>
          <w:sz w:val="32"/>
          <w:szCs w:val="32"/>
        </w:rPr>
        <w:t>万元</w:t>
      </w:r>
      <w:r>
        <w:rPr>
          <w:rFonts w:hint="eastAsia" w:ascii="Times New Roman" w:hAnsi="Times New Roman" w:eastAsia="仿宋_GB2312" w:cs="Times New Roman"/>
          <w:bCs/>
          <w:snapToGrid w:val="0"/>
          <w:color w:val="auto"/>
          <w:kern w:val="0"/>
          <w:sz w:val="32"/>
          <w:szCs w:val="32"/>
          <w:lang w:eastAsia="zh-CN"/>
        </w:rPr>
        <w:t>。</w:t>
      </w:r>
    </w:p>
    <w:p>
      <w:pPr>
        <w:pStyle w:val="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Times New Roman" w:hAnsi="Times New Roman" w:eastAsia="黑体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黑体" w:cs="Times New Roman"/>
          <w:color w:val="auto"/>
          <w:sz w:val="32"/>
          <w:szCs w:val="32"/>
        </w:rPr>
        <w:t>四、国有资本经营预算支出情况</w:t>
      </w:r>
    </w:p>
    <w:p>
      <w:pPr>
        <w:pStyle w:val="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eastAsia" w:ascii="Times New Roman" w:hAnsi="Times New Roman" w:eastAsia="黑体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黑体" w:cs="Times New Roman"/>
          <w:sz w:val="32"/>
          <w:szCs w:val="32"/>
          <w:lang w:eastAsia="zh-CN"/>
        </w:rPr>
        <w:t>无</w:t>
      </w:r>
    </w:p>
    <w:p>
      <w:pPr>
        <w:pStyle w:val="8"/>
        <w:keepNext w:val="0"/>
        <w:keepLines w:val="0"/>
        <w:pageBreakBefore w:val="0"/>
        <w:widowControl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社会保险基金预算支出情况</w:t>
      </w:r>
    </w:p>
    <w:p>
      <w:pPr>
        <w:pStyle w:val="8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both"/>
        <w:textAlignment w:val="auto"/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  <w:t xml:space="preserve">    无</w:t>
      </w:r>
    </w:p>
    <w:p>
      <w:pPr>
        <w:keepNext w:val="0"/>
        <w:keepLines w:val="0"/>
        <w:pageBreakBefore w:val="0"/>
        <w:widowControl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0" w:leftChars="0" w:firstLine="640" w:firstLineChars="200"/>
        <w:jc w:val="both"/>
        <w:textAlignment w:val="auto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部门整体支出绩效情况</w:t>
      </w:r>
    </w:p>
    <w:p>
      <w:pPr>
        <w:spacing w:line="580" w:lineRule="exact"/>
        <w:ind w:firstLine="640" w:firstLineChars="200"/>
        <w:rPr>
          <w:rFonts w:ascii="Times New Roman" w:hAnsi="Times New Roman" w:eastAsia="仿宋_GB2312" w:cs="Times New Roman"/>
          <w:color w:val="auto"/>
          <w:kern w:val="2"/>
          <w:sz w:val="32"/>
          <w:szCs w:val="32"/>
        </w:rPr>
      </w:pPr>
      <w:r>
        <w:rPr>
          <w:rFonts w:ascii="Times New Roman" w:hAnsi="Times New Roman" w:eastAsia="仿宋_GB2312" w:cs="Times New Roman"/>
          <w:color w:val="auto"/>
          <w:kern w:val="2"/>
          <w:sz w:val="32"/>
          <w:szCs w:val="32"/>
        </w:rPr>
        <w:t>202</w:t>
      </w:r>
      <w:r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  <w:lang w:val="en-US" w:eastAsia="zh-CN"/>
        </w:rPr>
        <w:t>5</w:t>
      </w:r>
      <w:r>
        <w:rPr>
          <w:rFonts w:ascii="Times New Roman" w:hAnsi="Times New Roman" w:eastAsia="仿宋_GB2312" w:cs="Times New Roman"/>
          <w:color w:val="auto"/>
          <w:kern w:val="2"/>
          <w:sz w:val="32"/>
          <w:szCs w:val="32"/>
        </w:rPr>
        <w:t>年我</w:t>
      </w:r>
      <w:r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  <w:lang w:eastAsia="zh-CN"/>
        </w:rPr>
        <w:t>局</w:t>
      </w:r>
      <w:r>
        <w:rPr>
          <w:rFonts w:ascii="Times New Roman" w:hAnsi="Times New Roman" w:eastAsia="仿宋_GB2312" w:cs="Times New Roman"/>
          <w:color w:val="auto"/>
          <w:kern w:val="2"/>
          <w:sz w:val="32"/>
          <w:szCs w:val="32"/>
        </w:rPr>
        <w:t>坚持以习近平新时代中国特色社会主义思想为指导，紧紧围绕</w:t>
      </w:r>
      <w:r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  <w:lang w:eastAsia="zh-CN"/>
        </w:rPr>
        <w:t>市委市政府</w:t>
      </w:r>
      <w:r>
        <w:rPr>
          <w:rFonts w:ascii="Times New Roman" w:hAnsi="Times New Roman" w:eastAsia="仿宋_GB2312" w:cs="Times New Roman"/>
          <w:color w:val="auto"/>
          <w:kern w:val="2"/>
          <w:sz w:val="32"/>
          <w:szCs w:val="32"/>
        </w:rPr>
        <w:t>决策部署，牢记民政使命任务，坚持以人民为中心，坚持稳字当头、稳中求进，统筹发展与安全两件大事，守牢安全底线，聚焦乡村振兴，聚焦特殊群体，聚焦群众关切，积极履行基本民生保障、基层社会治理、基本社会服务职责</w:t>
      </w:r>
      <w:r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  <w:lang w:eastAsia="zh-CN"/>
        </w:rPr>
        <w:t>，</w:t>
      </w:r>
      <w:r>
        <w:rPr>
          <w:rFonts w:ascii="Times New Roman" w:hAnsi="Times New Roman" w:eastAsia="仿宋_GB2312" w:cs="Times New Roman"/>
          <w:color w:val="auto"/>
          <w:kern w:val="2"/>
          <w:sz w:val="32"/>
          <w:szCs w:val="32"/>
        </w:rPr>
        <w:t>通过全</w:t>
      </w:r>
      <w:r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  <w:lang w:eastAsia="zh-CN"/>
        </w:rPr>
        <w:t>市</w:t>
      </w:r>
      <w:r>
        <w:rPr>
          <w:rFonts w:ascii="Times New Roman" w:hAnsi="Times New Roman" w:eastAsia="仿宋_GB2312" w:cs="Times New Roman"/>
          <w:color w:val="auto"/>
          <w:kern w:val="2"/>
          <w:sz w:val="32"/>
          <w:szCs w:val="32"/>
        </w:rPr>
        <w:t>民政系统共同努力，</w:t>
      </w:r>
      <w:r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  <w:lang w:eastAsia="zh-CN"/>
        </w:rPr>
        <w:t>较好的完成了年初预期目标任务</w:t>
      </w:r>
      <w:r>
        <w:rPr>
          <w:rFonts w:ascii="Times New Roman" w:hAnsi="Times New Roman" w:eastAsia="仿宋_GB2312" w:cs="Times New Roman"/>
          <w:color w:val="auto"/>
          <w:kern w:val="2"/>
          <w:sz w:val="32"/>
          <w:szCs w:val="32"/>
        </w:rPr>
        <w:t>。根据《部门整体支出绩效自评表》自评分</w:t>
      </w:r>
      <w:r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  <w:lang w:val="en-US" w:eastAsia="zh-CN"/>
        </w:rPr>
        <w:t>98.84</w:t>
      </w:r>
      <w:r>
        <w:rPr>
          <w:rFonts w:ascii="Times New Roman" w:hAnsi="Times New Roman" w:eastAsia="仿宋_GB2312" w:cs="Times New Roman"/>
          <w:color w:val="auto"/>
          <w:kern w:val="2"/>
          <w:sz w:val="32"/>
          <w:szCs w:val="32"/>
        </w:rPr>
        <w:t>分（详见附件2），《</w:t>
      </w:r>
      <w:r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  <w:lang w:val="en-US" w:eastAsia="zh-CN"/>
        </w:rPr>
        <w:t>2025年度项目支出</w:t>
      </w:r>
      <w:r>
        <w:rPr>
          <w:rFonts w:ascii="Times New Roman" w:hAnsi="Times New Roman" w:eastAsia="仿宋_GB2312" w:cs="Times New Roman"/>
          <w:color w:val="auto"/>
          <w:kern w:val="2"/>
          <w:sz w:val="32"/>
          <w:szCs w:val="32"/>
        </w:rPr>
        <w:t>绩效自评表</w:t>
      </w:r>
      <w:r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  <w:lang w:eastAsia="zh-CN"/>
        </w:rPr>
        <w:t>—日常工作经费</w:t>
      </w:r>
      <w:r>
        <w:rPr>
          <w:rFonts w:ascii="Times New Roman" w:hAnsi="Times New Roman" w:eastAsia="仿宋_GB2312" w:cs="Times New Roman"/>
          <w:color w:val="auto"/>
          <w:kern w:val="2"/>
          <w:sz w:val="32"/>
          <w:szCs w:val="32"/>
        </w:rPr>
        <w:t>》自评分</w:t>
      </w:r>
      <w:r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  <w:lang w:val="en-US" w:eastAsia="zh-CN"/>
        </w:rPr>
        <w:t>100</w:t>
      </w:r>
      <w:r>
        <w:rPr>
          <w:rFonts w:ascii="Times New Roman" w:hAnsi="Times New Roman" w:eastAsia="仿宋_GB2312" w:cs="Times New Roman"/>
          <w:color w:val="auto"/>
          <w:kern w:val="2"/>
          <w:sz w:val="32"/>
          <w:szCs w:val="32"/>
        </w:rPr>
        <w:t>分</w:t>
      </w:r>
      <w:r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  <w:lang w:val="en-US" w:eastAsia="zh-CN"/>
        </w:rPr>
        <w:t>,</w:t>
      </w:r>
      <w:r>
        <w:rPr>
          <w:rFonts w:ascii="Times New Roman" w:hAnsi="Times New Roman" w:eastAsia="仿宋_GB2312" w:cs="Times New Roman"/>
          <w:color w:val="auto"/>
          <w:kern w:val="2"/>
          <w:sz w:val="32"/>
          <w:szCs w:val="32"/>
        </w:rPr>
        <w:t>部门整体支出绩效为“优”。</w:t>
      </w:r>
    </w:p>
    <w:p>
      <w:pPr>
        <w:pStyle w:val="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七、存在的问题及原因分析</w:t>
      </w:r>
    </w:p>
    <w:p>
      <w:pPr>
        <w:pStyle w:val="4"/>
        <w:spacing w:line="580" w:lineRule="exact"/>
        <w:ind w:firstLine="640" w:firstLineChars="200"/>
      </w:pPr>
      <w:r>
        <w:rPr>
          <w:rFonts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预算编制的准确性有待提高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，因我局部分</w:t>
      </w:r>
      <w:r>
        <w:rPr>
          <w:rFonts w:hint="eastAsia" w:ascii="Times New Roman" w:hAnsi="Times New Roman" w:cs="Times New Roman"/>
          <w:kern w:val="2"/>
          <w:sz w:val="32"/>
          <w:szCs w:val="32"/>
          <w:lang w:val="en-US" w:eastAsia="zh-CN" w:bidi="ar-SA"/>
        </w:rPr>
        <w:t>项目资金纳入财政代编资金，导致预算不够精准。</w:t>
      </w:r>
    </w:p>
    <w:p>
      <w:pPr>
        <w:keepNext w:val="0"/>
        <w:keepLines w:val="0"/>
        <w:pageBreakBefore w:val="0"/>
        <w:widowControl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下一步改进措施</w:t>
      </w:r>
    </w:p>
    <w:p>
      <w:pPr>
        <w:spacing w:line="580" w:lineRule="exact"/>
        <w:ind w:firstLine="640" w:firstLineChars="200"/>
        <w:rPr>
          <w:rFonts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加强部门预算管理，提高预算编制的精准性。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一是组织学习《</w:t>
      </w:r>
      <w:r>
        <w:rPr>
          <w:rFonts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新预算法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》</w:t>
      </w:r>
      <w:r>
        <w:rPr>
          <w:rFonts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，提高预算管理意识，进一步提高预算编制的全面性、精准性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。二是加强</w:t>
      </w:r>
      <w:r>
        <w:rPr>
          <w:rFonts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和财政沟通，确保财政安排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的</w:t>
      </w:r>
      <w:r>
        <w:rPr>
          <w:rFonts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预算拨款收入和其他收入都纳入年初预算，当预算与实际情况存在相对较大的偏离时，履行预算调整申报审批手续。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九、部门整体支出绩效自评结果拟应用和公开情况</w:t>
      </w:r>
    </w:p>
    <w:p>
      <w:pPr>
        <w:spacing w:line="58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kern w:val="2"/>
          <w:sz w:val="32"/>
        </w:rPr>
        <w:t>绩效自评结果将作为下年部门预算安排的重要依据，与预算调整和项目安排挂钩。拟于</w:t>
      </w:r>
      <w:r>
        <w:rPr>
          <w:rFonts w:hint="eastAsia" w:ascii="Times New Roman" w:hAnsi="Times New Roman" w:eastAsia="仿宋_GB2312" w:cs="Times New Roman"/>
          <w:kern w:val="2"/>
          <w:sz w:val="32"/>
          <w:lang w:val="en-US" w:eastAsia="zh-CN"/>
        </w:rPr>
        <w:t>7</w:t>
      </w:r>
      <w:r>
        <w:rPr>
          <w:rFonts w:ascii="Times New Roman" w:hAnsi="Times New Roman" w:eastAsia="仿宋_GB2312" w:cs="Times New Roman"/>
          <w:kern w:val="2"/>
          <w:sz w:val="32"/>
        </w:rPr>
        <w:t>月</w:t>
      </w:r>
      <w:r>
        <w:rPr>
          <w:rFonts w:hint="eastAsia" w:ascii="Times New Roman" w:hAnsi="Times New Roman" w:eastAsia="仿宋_GB2312" w:cs="Times New Roman"/>
          <w:kern w:val="2"/>
          <w:sz w:val="32"/>
          <w:lang w:val="en-US" w:eastAsia="zh-CN"/>
        </w:rPr>
        <w:t>31</w:t>
      </w:r>
      <w:r>
        <w:rPr>
          <w:rFonts w:ascii="Times New Roman" w:hAnsi="Times New Roman" w:eastAsia="仿宋_GB2312" w:cs="Times New Roman"/>
          <w:kern w:val="2"/>
          <w:sz w:val="32"/>
        </w:rPr>
        <w:t>日</w:t>
      </w:r>
      <w:r>
        <w:rPr>
          <w:rFonts w:hint="eastAsia" w:ascii="Times New Roman" w:hAnsi="Times New Roman" w:eastAsia="仿宋_GB2312" w:cs="Times New Roman"/>
          <w:kern w:val="2"/>
          <w:sz w:val="32"/>
        </w:rPr>
        <w:t>前</w:t>
      </w:r>
      <w:r>
        <w:rPr>
          <w:rFonts w:ascii="Times New Roman" w:hAnsi="Times New Roman" w:eastAsia="仿宋_GB2312" w:cs="Times New Roman"/>
          <w:kern w:val="2"/>
          <w:sz w:val="32"/>
        </w:rPr>
        <w:t>在民政</w:t>
      </w:r>
      <w:r>
        <w:rPr>
          <w:rFonts w:hint="eastAsia" w:ascii="Times New Roman" w:hAnsi="Times New Roman" w:eastAsia="仿宋_GB2312" w:cs="Times New Roman"/>
          <w:kern w:val="2"/>
          <w:sz w:val="32"/>
          <w:lang w:eastAsia="zh-CN"/>
        </w:rPr>
        <w:t>局</w:t>
      </w:r>
      <w:r>
        <w:rPr>
          <w:rFonts w:ascii="Times New Roman" w:hAnsi="Times New Roman" w:eastAsia="仿宋_GB2312" w:cs="Times New Roman"/>
          <w:kern w:val="2"/>
          <w:sz w:val="32"/>
        </w:rPr>
        <w:t>官网上公开，广泛接受群众监督。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</w:rPr>
        <w:t>部门整体支出绩效评价基础数据表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</w:rPr>
        <w:t>部门整体支出绩效自评表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</w:rPr>
        <w:t>项目支出绩效自评表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(共1个）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both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br w:type="page"/>
      </w:r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5</w:t>
      </w:r>
    </w:p>
    <w:p>
      <w:pPr>
        <w:spacing w:before="120" w:beforeLines="50" w:after="120" w:afterLines="50"/>
        <w:jc w:val="center"/>
        <w:rPr>
          <w:rFonts w:hint="eastAsia" w:ascii="方正小标宋简体" w:hAnsi="方正小标宋简体" w:eastAsia="方正小标宋简体" w:cs="方正小标宋简体"/>
          <w:spacing w:val="-6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部门整体支出</w:t>
      </w:r>
      <w:r>
        <w:rPr>
          <w:rFonts w:hint="eastAsia" w:ascii="方正小标宋简体" w:hAnsi="方正小标宋简体" w:eastAsia="方正小标宋简体" w:cs="方正小标宋简体"/>
          <w:spacing w:val="-6"/>
          <w:sz w:val="36"/>
          <w:szCs w:val="36"/>
        </w:rPr>
        <w:t>绩效自评工作考核评分表</w:t>
      </w:r>
    </w:p>
    <w:tbl>
      <w:tblPr>
        <w:tblStyle w:val="6"/>
        <w:tblW w:w="9941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5"/>
        <w:gridCol w:w="1174"/>
        <w:gridCol w:w="5000"/>
        <w:gridCol w:w="302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黑体" w:cs="Times New Roman"/>
                <w:bCs/>
                <w:sz w:val="21"/>
                <w:szCs w:val="21"/>
              </w:rPr>
            </w:pPr>
            <w:r>
              <w:rPr>
                <w:rFonts w:hint="default" w:ascii="Times New Roman" w:hAnsi="Times New Roman" w:eastAsia="黑体" w:cs="Times New Roman"/>
                <w:bCs/>
                <w:sz w:val="21"/>
                <w:szCs w:val="21"/>
              </w:rPr>
              <w:t>一级指标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黑体" w:cs="Times New Roman"/>
                <w:bCs/>
                <w:sz w:val="21"/>
                <w:szCs w:val="21"/>
              </w:rPr>
            </w:pPr>
            <w:r>
              <w:rPr>
                <w:rFonts w:hint="default" w:ascii="Times New Roman" w:hAnsi="Times New Roman" w:eastAsia="黑体" w:cs="Times New Roman"/>
                <w:bCs/>
                <w:sz w:val="21"/>
                <w:szCs w:val="21"/>
              </w:rPr>
              <w:t>二级指标</w:t>
            </w:r>
          </w:p>
        </w:tc>
        <w:tc>
          <w:tcPr>
            <w:tcW w:w="50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黑体" w:cs="Times New Roman"/>
                <w:bCs/>
                <w:sz w:val="21"/>
                <w:szCs w:val="21"/>
              </w:rPr>
            </w:pPr>
            <w:r>
              <w:rPr>
                <w:rFonts w:hint="default" w:ascii="Times New Roman" w:hAnsi="Times New Roman" w:eastAsia="黑体" w:cs="Times New Roman"/>
                <w:bCs/>
                <w:sz w:val="21"/>
                <w:szCs w:val="21"/>
              </w:rPr>
              <w:t>评分标准</w:t>
            </w:r>
          </w:p>
        </w:tc>
        <w:tc>
          <w:tcPr>
            <w:tcW w:w="30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黑体" w:cs="Times New Roman"/>
                <w:bCs/>
                <w:sz w:val="21"/>
                <w:szCs w:val="21"/>
              </w:rPr>
            </w:pPr>
            <w:r>
              <w:rPr>
                <w:rFonts w:hint="default" w:ascii="Times New Roman" w:hAnsi="Times New Roman" w:eastAsia="黑体" w:cs="Times New Roman"/>
                <w:bCs/>
                <w:sz w:val="21"/>
                <w:szCs w:val="21"/>
              </w:rPr>
              <w:t>所需佐证材料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</w:rPr>
              <w:t>布置工作</w:t>
            </w:r>
          </w:p>
          <w:p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</w:rPr>
            </w:pPr>
          </w:p>
          <w:p>
            <w:pPr>
              <w:spacing w:line="300" w:lineRule="exact"/>
              <w:jc w:val="left"/>
              <w:rPr>
                <w:rFonts w:hint="default"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</w:rPr>
              <w:t>10分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</w:rPr>
              <w:t>自评通知</w:t>
            </w:r>
          </w:p>
          <w:p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</w:rPr>
              <w:t>（8分）</w:t>
            </w:r>
          </w:p>
        </w:tc>
        <w:tc>
          <w:tcPr>
            <w:tcW w:w="50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hint="default"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</w:rPr>
              <w:t>1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.</w:t>
            </w:r>
            <w:r>
              <w:rPr>
                <w:rFonts w:hint="default" w:ascii="Times New Roman" w:hAnsi="Times New Roman" w:eastAsia="仿宋_GB2312" w:cs="Times New Roman"/>
                <w:sz w:val="20"/>
                <w:szCs w:val="20"/>
              </w:rPr>
              <w:t>印发绩效自评通知的得2分，否则不得分。</w:t>
            </w:r>
          </w:p>
          <w:p>
            <w:pPr>
              <w:spacing w:line="300" w:lineRule="exact"/>
              <w:rPr>
                <w:rFonts w:hint="default"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</w:rPr>
              <w:t>2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.</w:t>
            </w:r>
            <w:r>
              <w:rPr>
                <w:rFonts w:hint="default" w:ascii="Times New Roman" w:hAnsi="Times New Roman" w:eastAsia="仿宋_GB2312" w:cs="Times New Roman"/>
                <w:sz w:val="20"/>
                <w:szCs w:val="20"/>
              </w:rPr>
              <w:t>按照本规程规定，绩效自评通知包括自评范围、自评主要依据、自评主要内容、自评程序和步骤、有关要求等内容，并附有本通知要求的附件的，得6分；否则缺1项扣1分，最多扣6分。</w:t>
            </w:r>
          </w:p>
        </w:tc>
        <w:tc>
          <w:tcPr>
            <w:tcW w:w="30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hint="default"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</w:rPr>
              <w:t>绩效自评通知盖章的电子版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hint="default"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</w:rPr>
              <w:t>工作小组</w:t>
            </w:r>
          </w:p>
          <w:p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</w:rPr>
              <w:t>（2分）</w:t>
            </w:r>
          </w:p>
        </w:tc>
        <w:tc>
          <w:tcPr>
            <w:tcW w:w="50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hint="default"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</w:rPr>
              <w:t>成立绩效自评工作小组的得2分，否则不得分。</w:t>
            </w:r>
          </w:p>
        </w:tc>
        <w:tc>
          <w:tcPr>
            <w:tcW w:w="30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hint="default"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</w:rPr>
              <w:t>本部门、本单位预算绩效管理领导小组</w:t>
            </w:r>
            <w:r>
              <w:rPr>
                <w:rFonts w:hint="default" w:ascii="Times New Roman" w:hAnsi="Times New Roman" w:eastAsia="仿宋_GB2312" w:cs="Times New Roman"/>
                <w:spacing w:val="0"/>
                <w:sz w:val="20"/>
                <w:szCs w:val="20"/>
                <w:lang w:val="en-US" w:eastAsia="zh-CN"/>
              </w:rPr>
              <w:t>/</w:t>
            </w:r>
            <w:r>
              <w:rPr>
                <w:rFonts w:hint="default" w:ascii="Times New Roman" w:hAnsi="Times New Roman" w:eastAsia="仿宋_GB2312" w:cs="Times New Roman"/>
                <w:sz w:val="20"/>
                <w:szCs w:val="20"/>
              </w:rPr>
              <w:t>绩效评价工作小组</w:t>
            </w: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lang w:eastAsia="zh-CN"/>
              </w:rPr>
              <w:t>有关</w:t>
            </w:r>
            <w:r>
              <w:rPr>
                <w:rFonts w:hint="default" w:ascii="Times New Roman" w:hAnsi="Times New Roman" w:eastAsia="仿宋_GB2312" w:cs="Times New Roman"/>
                <w:spacing w:val="0"/>
                <w:sz w:val="20"/>
                <w:szCs w:val="20"/>
              </w:rPr>
              <w:t>文件</w:t>
            </w:r>
            <w:r>
              <w:rPr>
                <w:rFonts w:hint="default" w:ascii="Times New Roman" w:hAnsi="Times New Roman" w:eastAsia="仿宋_GB2312" w:cs="Times New Roman"/>
                <w:sz w:val="20"/>
                <w:szCs w:val="20"/>
              </w:rPr>
              <w:t>盖章的电子版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</w:rPr>
              <w:t>实施评价</w:t>
            </w:r>
          </w:p>
          <w:p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</w:rPr>
            </w:pPr>
          </w:p>
          <w:p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</w:rPr>
              <w:t>20分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</w:rPr>
              <w:t>单位自查</w:t>
            </w:r>
          </w:p>
          <w:p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</w:rPr>
              <w:t>（10分）</w:t>
            </w:r>
          </w:p>
        </w:tc>
        <w:tc>
          <w:tcPr>
            <w:tcW w:w="50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hint="default"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eastAsia="zh-CN"/>
              </w:rPr>
              <w:t>市级</w:t>
            </w:r>
            <w:r>
              <w:rPr>
                <w:rFonts w:hint="default" w:ascii="Times New Roman" w:hAnsi="Times New Roman" w:eastAsia="仿宋_GB2312" w:cs="Times New Roman"/>
                <w:sz w:val="20"/>
                <w:szCs w:val="20"/>
              </w:rPr>
              <w:t>预算部门本级和所属单位都要开展绩效自查，转移支付项目单位都要开展绩效自查，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eastAsia="zh-CN"/>
              </w:rPr>
              <w:t>县、区</w:t>
            </w:r>
            <w:r>
              <w:rPr>
                <w:rFonts w:hint="default" w:ascii="Times New Roman" w:hAnsi="Times New Roman" w:eastAsia="仿宋_GB2312" w:cs="Times New Roman"/>
                <w:sz w:val="20"/>
                <w:szCs w:val="20"/>
              </w:rPr>
              <w:t>级主管部门都要汇总本区域转移支付情况；以上各项每发现一个单位没有做相应工作的，扣1分，最多扣10分。</w:t>
            </w:r>
          </w:p>
        </w:tc>
        <w:tc>
          <w:tcPr>
            <w:tcW w:w="30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5"/>
              </w:numPr>
              <w:spacing w:line="300" w:lineRule="exact"/>
              <w:rPr>
                <w:rFonts w:hint="default"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</w:rPr>
              <w:t>转移支付项目单位名称和资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sz w:val="20"/>
                <w:szCs w:val="20"/>
              </w:rPr>
              <w:t>金情况清单</w:t>
            </w:r>
          </w:p>
          <w:p>
            <w:pPr>
              <w:numPr>
                <w:ilvl w:val="0"/>
                <w:numId w:val="5"/>
              </w:numPr>
              <w:spacing w:line="300" w:lineRule="exact"/>
              <w:rPr>
                <w:rFonts w:hint="default"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</w:rPr>
              <w:t>有转移支付资金的各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eastAsia="zh-CN"/>
              </w:rPr>
              <w:t>县区</w:t>
            </w:r>
            <w:r>
              <w:rPr>
                <w:rFonts w:hint="default" w:ascii="Times New Roman" w:hAnsi="Times New Roman" w:eastAsia="仿宋_GB2312" w:cs="Times New Roman"/>
                <w:sz w:val="20"/>
                <w:szCs w:val="20"/>
              </w:rPr>
              <w:t>主管部门汇总情况的盖章PDF版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hint="default"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</w:rPr>
              <w:t>提交报告</w:t>
            </w:r>
          </w:p>
          <w:p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</w:rPr>
              <w:t>（10分）</w:t>
            </w:r>
          </w:p>
        </w:tc>
        <w:tc>
          <w:tcPr>
            <w:tcW w:w="802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</w:rPr>
              <w:t>按时向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eastAsia="zh-CN"/>
              </w:rPr>
              <w:t>市财政局</w:t>
            </w:r>
            <w:r>
              <w:rPr>
                <w:rFonts w:hint="default" w:ascii="Times New Roman" w:hAnsi="Times New Roman" w:eastAsia="仿宋_GB2312" w:cs="Times New Roman"/>
                <w:sz w:val="20"/>
                <w:szCs w:val="20"/>
              </w:rPr>
              <w:t>报送报告的得10分；每推迟一个工作日报送报告的扣1分，最多扣10分。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  <w:jc w:val="center"/>
        </w:trPr>
        <w:tc>
          <w:tcPr>
            <w:tcW w:w="7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</w:rPr>
              <w:t>自评报告</w:t>
            </w:r>
          </w:p>
          <w:p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</w:rPr>
            </w:pPr>
          </w:p>
          <w:p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</w:rPr>
              <w:t>70分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</w:rPr>
              <w:t>完整性</w:t>
            </w:r>
          </w:p>
          <w:p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</w:rPr>
              <w:t>（15分）</w:t>
            </w:r>
          </w:p>
        </w:tc>
        <w:tc>
          <w:tcPr>
            <w:tcW w:w="80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rPr>
                <w:rFonts w:hint="default"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</w:rPr>
              <w:t>1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.</w:t>
            </w:r>
            <w:r>
              <w:rPr>
                <w:rFonts w:hint="default" w:ascii="Times New Roman" w:hAnsi="Times New Roman" w:eastAsia="仿宋_GB2312" w:cs="Times New Roman"/>
                <w:sz w:val="20"/>
                <w:szCs w:val="20"/>
              </w:rPr>
              <w:t>绩效自评报告正文部分内容齐全的，得8分；否则每少一个部分扣2分，最多扣8分。</w:t>
            </w:r>
          </w:p>
          <w:p>
            <w:pPr>
              <w:spacing w:line="240" w:lineRule="auto"/>
              <w:jc w:val="left"/>
              <w:rPr>
                <w:rFonts w:hint="default"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</w:rPr>
              <w:t>2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.</w:t>
            </w:r>
            <w:r>
              <w:rPr>
                <w:rFonts w:hint="default" w:ascii="Times New Roman" w:hAnsi="Times New Roman" w:eastAsia="仿宋_GB2312" w:cs="Times New Roman"/>
                <w:sz w:val="20"/>
                <w:szCs w:val="20"/>
              </w:rPr>
              <w:t>绩效自评报告附件部分内容齐全的，得7分；否则每少一个部分扣2分，最多扣7分。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43" w:hRule="atLeast"/>
          <w:jc w:val="center"/>
        </w:trPr>
        <w:tc>
          <w:tcPr>
            <w:tcW w:w="7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hint="default"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1174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</w:rPr>
              <w:t>绩效</w:t>
            </w:r>
          </w:p>
          <w:p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</w:rPr>
              <w:t>自评表</w:t>
            </w:r>
          </w:p>
          <w:p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</w:rPr>
              <w:t>（20分）</w:t>
            </w:r>
          </w:p>
        </w:tc>
        <w:tc>
          <w:tcPr>
            <w:tcW w:w="80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rPr>
                <w:rFonts w:hint="default"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</w:rPr>
              <w:t>1、部门整体支出和项目支出绩效指标反映产出、效益、服务对象满意度方面的指标和预算执行率的权重符合《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eastAsia="zh-CN"/>
              </w:rPr>
              <w:t>岳阳市市级</w:t>
            </w:r>
            <w:r>
              <w:rPr>
                <w:rFonts w:hint="default" w:ascii="Times New Roman" w:hAnsi="Times New Roman" w:eastAsia="仿宋_GB2312" w:cs="Times New Roman"/>
                <w:sz w:val="20"/>
                <w:szCs w:val="20"/>
              </w:rPr>
              <w:t>预算部门绩效自评操作规程》要求的，得5分，否则按比例扣除相应的分数。</w:t>
            </w:r>
          </w:p>
          <w:p>
            <w:pPr>
              <w:spacing w:line="240" w:lineRule="auto"/>
              <w:rPr>
                <w:rFonts w:hint="default"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</w:rPr>
              <w:t>2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.</w:t>
            </w:r>
            <w:r>
              <w:rPr>
                <w:rFonts w:hint="default" w:ascii="Times New Roman" w:hAnsi="Times New Roman" w:eastAsia="仿宋_GB2312" w:cs="Times New Roman"/>
                <w:sz w:val="20"/>
                <w:szCs w:val="20"/>
              </w:rPr>
              <w:t>部门整体支出和项目支出绩效指标全部细化到三级指标的，得5分；部分细化的，酌情扣分；没有细化的，不得分。</w:t>
            </w:r>
          </w:p>
          <w:p>
            <w:pPr>
              <w:spacing w:line="240" w:lineRule="auto"/>
              <w:jc w:val="left"/>
              <w:rPr>
                <w:rFonts w:hint="default"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</w:rPr>
              <w:t>3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.</w:t>
            </w:r>
            <w:r>
              <w:rPr>
                <w:rFonts w:hint="default" w:ascii="Times New Roman" w:hAnsi="Times New Roman" w:eastAsia="仿宋_GB2312" w:cs="Times New Roman"/>
                <w:sz w:val="20"/>
                <w:szCs w:val="20"/>
              </w:rPr>
              <w:t>部门整体支出和项目支出三级绩效指标内涵明确、具体、可衡量的得5分；突出核心指标，精简实用的得3分；指标与部门整体支出和项目支出密切相关，全面反映产出和效益的得2分；否则，每项酌情扣分，最多扣10分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7" w:hRule="atLeast"/>
          <w:jc w:val="center"/>
        </w:trPr>
        <w:tc>
          <w:tcPr>
            <w:tcW w:w="7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</w:p>
          <w:p>
            <w:pPr>
              <w:spacing w:line="240" w:lineRule="auto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</w:rPr>
              <w:t>反映问</w:t>
            </w:r>
          </w:p>
          <w:p>
            <w:pPr>
              <w:spacing w:line="240" w:lineRule="auto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</w:rPr>
              <w:t>题情况</w:t>
            </w:r>
          </w:p>
          <w:p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</w:rPr>
              <w:t>（20分）</w:t>
            </w:r>
          </w:p>
        </w:tc>
        <w:tc>
          <w:tcPr>
            <w:tcW w:w="80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left"/>
              <w:rPr>
                <w:rFonts w:hint="default"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</w:rPr>
              <w:t>从预算和预算绩效管理，部门履职效能，资金分配、使用和管理，资产和财务管理，政府采购等方面归纳问题、分析原因全面的，得20分；反映问题、分析原因较全面的，得16—18分；反映问题、分析原因不全面的，得13—15分；问题未归纳且过于简单的，得10—12分；只提出资金不足问题的不得分；其他情况酌情扣分。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  <w:jc w:val="center"/>
        </w:trPr>
        <w:tc>
          <w:tcPr>
            <w:tcW w:w="7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hint="default"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</w:rPr>
              <w:t>建议情况</w:t>
            </w:r>
          </w:p>
          <w:p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</w:rPr>
              <w:t>（15分）</w:t>
            </w:r>
          </w:p>
        </w:tc>
        <w:tc>
          <w:tcPr>
            <w:tcW w:w="80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left"/>
              <w:rPr>
                <w:rFonts w:hint="default"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</w:rPr>
              <w:t>建议与问题对应且全面的得15分，建议比较全面的得12—14分，建议不全面的得9—11分，建议过于简单的得6—8分，只提出加大资金投入建议的不得分；其他情况酌情扣分。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</w:rPr>
              <w:t>合计</w:t>
            </w:r>
          </w:p>
        </w:tc>
        <w:tc>
          <w:tcPr>
            <w:tcW w:w="11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</w:rPr>
              <w:t>100分</w:t>
            </w:r>
          </w:p>
        </w:tc>
        <w:tc>
          <w:tcPr>
            <w:tcW w:w="80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hint="default"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</w:tr>
    </w:tbl>
    <w:p/>
    <w:sectPr>
      <w:footerReference r:id="rId3" w:type="default"/>
      <w:pgSz w:w="11906" w:h="16838"/>
      <w:pgMar w:top="1587" w:right="1587" w:bottom="1587" w:left="1587" w:header="851" w:footer="992" w:gutter="0"/>
      <w:pgNumType w:fmt="decimal"/>
      <w:cols w:space="720" w:num="1"/>
      <w:rtlGutter w:val="0"/>
      <w:docGrid w:type="lines" w:linePitch="39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5A6EE283-BB9B-47B8-9F47-B4004097450B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EEBD3539-F3F9-464B-8CA6-6841EB83FECC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3" w:fontKey="{D78608C5-817E-4DEA-B0BA-9328335C862D}"/>
  </w:font>
  <w:font w:name="方正小标宋_GBK">
    <w:panose1 w:val="02000000000000000000"/>
    <w:charset w:val="86"/>
    <w:family w:val="script"/>
    <w:pitch w:val="default"/>
    <w:sig w:usb0="00000000" w:usb1="00000000" w:usb2="00000000" w:usb3="00000000" w:csb0="00000000" w:csb1="00000000"/>
    <w:embedRegular r:id="rId4" w:fontKey="{8531CECE-3B5C-4846-B36B-38D054B91F29}"/>
  </w:font>
  <w:font w:name="方正小标宋简体">
    <w:panose1 w:val="02000000000000000000"/>
    <w:charset w:val="86"/>
    <w:family w:val="auto"/>
    <w:pitch w:val="default"/>
    <w:sig w:usb0="00000000" w:usb1="00000000" w:usb2="00000000" w:usb3="00000000" w:csb0="00000000" w:csb1="00000000"/>
    <w:embedRegular r:id="rId5" w:fontKey="{A7743710-B7DB-4545-9EBA-FC5573F223AE}"/>
  </w:font>
  <w:font w:name="楷体_GB2312">
    <w:panose1 w:val="02010609030101010101"/>
    <w:charset w:val="86"/>
    <w:family w:val="modern"/>
    <w:pitch w:val="default"/>
    <w:sig w:usb0="00000000" w:usb1="00000000" w:usb2="00000000" w:usb3="00000000" w:csb0="00000000" w:csb1="00000000"/>
    <w:embedRegular r:id="rId6" w:fontKey="{E8841EC9-7D1F-440B-8707-6022C2FFF19C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2"/>
                            <w:rPr>
                              <w:rFonts w:hint="default" w:ascii="Times New Roman" w:hAnsi="Times New Roman" w:eastAsia="宋体" w:cs="Times New Roman"/>
                              <w:sz w:val="24"/>
                              <w:szCs w:val="24"/>
                              <w:lang w:eastAsia="zh-CN"/>
                            </w:rPr>
                          </w:pP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  <w:lang w:eastAsia="zh-CN"/>
                            </w:rPr>
                            <w:t>—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  <w:lang w:val="en-US" w:eastAsia="zh-CN"/>
                            </w:rPr>
                            <w:t xml:space="preserve"> 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  <w:lang w:val="en-US" w:eastAsia="zh-CN"/>
                            </w:rPr>
                            <w:t xml:space="preserve"> 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  <w:lang w:eastAsia="zh-CN"/>
                            </w:rPr>
                            <w:t>—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default" w:ascii="Times New Roman" w:hAnsi="Times New Roman" w:eastAsia="宋体" w:cs="Times New Roman"/>
                        <w:sz w:val="24"/>
                        <w:szCs w:val="24"/>
                        <w:lang w:eastAsia="zh-CN"/>
                      </w:rPr>
                    </w:pP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  <w:lang w:eastAsia="zh-CN"/>
                      </w:rPr>
                      <w:t>—</w:t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  <w:lang w:val="en-US" w:eastAsia="zh-CN"/>
                      </w:rPr>
                      <w:t xml:space="preserve"> </w:t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  <w:lang w:eastAsia="zh-CN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  <w:lang w:eastAsia="zh-CN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  <w:lang w:eastAsia="zh-CN"/>
                      </w:rPr>
                      <w:t>1</w:t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  <w:lang w:eastAsia="zh-CN"/>
                      </w:rPr>
                      <w:fldChar w:fldCharType="end"/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  <w:lang w:val="en-US" w:eastAsia="zh-CN"/>
                      </w:rPr>
                      <w:t xml:space="preserve"> </w:t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  <w:lang w:eastAsia="zh-CN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A5F42FF"/>
    <w:multiLevelType w:val="singleLevel"/>
    <w:tmpl w:val="9A5F42FF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D06FC23A"/>
    <w:multiLevelType w:val="singleLevel"/>
    <w:tmpl w:val="D06FC23A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02B924D0"/>
    <w:multiLevelType w:val="singleLevel"/>
    <w:tmpl w:val="02B924D0"/>
    <w:lvl w:ilvl="0" w:tentative="0">
      <w:start w:val="8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0AC8921B"/>
    <w:multiLevelType w:val="singleLevel"/>
    <w:tmpl w:val="0AC8921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4">
    <w:nsid w:val="5DDF8822"/>
    <w:multiLevelType w:val="singleLevel"/>
    <w:tmpl w:val="5DDF8822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YxMzhiMDM3ZDMyZDNlNmIzNzE1NzQ0YmE3YzQzYmIifQ=="/>
  </w:docVars>
  <w:rsids>
    <w:rsidRoot w:val="244221D0"/>
    <w:rsid w:val="00DB7541"/>
    <w:rsid w:val="0366113A"/>
    <w:rsid w:val="03AC31EE"/>
    <w:rsid w:val="09392881"/>
    <w:rsid w:val="098E4FA0"/>
    <w:rsid w:val="10ED638F"/>
    <w:rsid w:val="13AA6413"/>
    <w:rsid w:val="1421732F"/>
    <w:rsid w:val="142B656C"/>
    <w:rsid w:val="15875F52"/>
    <w:rsid w:val="1B731EBB"/>
    <w:rsid w:val="1F6D3626"/>
    <w:rsid w:val="200643DE"/>
    <w:rsid w:val="22FF6D8E"/>
    <w:rsid w:val="23C35A13"/>
    <w:rsid w:val="244221D0"/>
    <w:rsid w:val="26501988"/>
    <w:rsid w:val="27225ADA"/>
    <w:rsid w:val="289136E1"/>
    <w:rsid w:val="2A4D6876"/>
    <w:rsid w:val="2D4A4E9D"/>
    <w:rsid w:val="2EEE5F46"/>
    <w:rsid w:val="304474B1"/>
    <w:rsid w:val="33F82E3F"/>
    <w:rsid w:val="342015F4"/>
    <w:rsid w:val="34A45FE9"/>
    <w:rsid w:val="35B10921"/>
    <w:rsid w:val="367347D4"/>
    <w:rsid w:val="37214561"/>
    <w:rsid w:val="384B79B9"/>
    <w:rsid w:val="39C227F1"/>
    <w:rsid w:val="3C373E57"/>
    <w:rsid w:val="3E904FA0"/>
    <w:rsid w:val="40D73AB7"/>
    <w:rsid w:val="43041D8C"/>
    <w:rsid w:val="432950B6"/>
    <w:rsid w:val="444D6C56"/>
    <w:rsid w:val="468331CE"/>
    <w:rsid w:val="46895093"/>
    <w:rsid w:val="4A6D0948"/>
    <w:rsid w:val="4DC3281F"/>
    <w:rsid w:val="51817C32"/>
    <w:rsid w:val="528C6631"/>
    <w:rsid w:val="53B36159"/>
    <w:rsid w:val="54492CA8"/>
    <w:rsid w:val="57611A41"/>
    <w:rsid w:val="57AB2CF3"/>
    <w:rsid w:val="59B56180"/>
    <w:rsid w:val="5A9046CE"/>
    <w:rsid w:val="5B606834"/>
    <w:rsid w:val="65CD68D7"/>
    <w:rsid w:val="68BE1248"/>
    <w:rsid w:val="6E4636F3"/>
    <w:rsid w:val="703948B7"/>
    <w:rsid w:val="77D64878"/>
    <w:rsid w:val="7A053A7A"/>
    <w:rsid w:val="7BB303CC"/>
    <w:rsid w:val="7EBC3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99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仿宋" w:hAnsi="仿宋" w:eastAsia="宋体" w:cs="Times New Roman"/>
      <w:kern w:val="0"/>
      <w:sz w:val="28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qFormat/>
    <w:uiPriority w:val="0"/>
    <w:pPr>
      <w:widowControl w:val="0"/>
      <w:tabs>
        <w:tab w:val="center" w:pos="4153"/>
        <w:tab w:val="right" w:pos="8306"/>
      </w:tabs>
      <w:snapToGrid w:val="0"/>
      <w:jc w:val="left"/>
    </w:pPr>
    <w:rPr>
      <w:rFonts w:ascii="仿宋" w:hAnsi="仿宋" w:eastAsia="宋体" w:cs="Times New Roman"/>
      <w:kern w:val="0"/>
      <w:sz w:val="18"/>
      <w:szCs w:val="24"/>
      <w:lang w:val="en-US" w:eastAsia="zh-CN" w:bidi="ar-SA"/>
    </w:rPr>
  </w:style>
  <w:style w:type="paragraph" w:styleId="3">
    <w:name w:val="toa heading"/>
    <w:next w:val="1"/>
    <w:qFormat/>
    <w:uiPriority w:val="99"/>
    <w:pPr>
      <w:widowControl w:val="0"/>
      <w:spacing w:before="120" w:after="200" w:line="276" w:lineRule="auto"/>
      <w:jc w:val="both"/>
    </w:pPr>
    <w:rPr>
      <w:rFonts w:ascii="Arial" w:hAnsi="Arial" w:eastAsia="宋体" w:cs="Times New Roman"/>
      <w:kern w:val="2"/>
      <w:sz w:val="24"/>
      <w:szCs w:val="21"/>
      <w:lang w:val="en-US" w:eastAsia="zh-CN" w:bidi="ar-SA"/>
    </w:rPr>
  </w:style>
  <w:style w:type="paragraph" w:styleId="4">
    <w:name w:val="Body Text"/>
    <w:next w:val="1"/>
    <w:qFormat/>
    <w:uiPriority w:val="0"/>
    <w:pPr>
      <w:widowControl w:val="0"/>
      <w:jc w:val="both"/>
    </w:pPr>
    <w:rPr>
      <w:rFonts w:eastAsia="仿宋_GB2312" w:asciiTheme="minorHAnsi" w:hAnsiTheme="minorHAnsi" w:cstheme="minorBidi"/>
      <w:kern w:val="2"/>
      <w:sz w:val="32"/>
      <w:szCs w:val="24"/>
      <w:lang w:val="en-US" w:eastAsia="zh-CN" w:bidi="ar-SA"/>
    </w:rPr>
  </w:style>
  <w:style w:type="paragraph" w:styleId="5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8">
    <w:name w:val="List Paragraph"/>
    <w:qFormat/>
    <w:uiPriority w:val="99"/>
    <w:pPr>
      <w:widowControl w:val="0"/>
      <w:ind w:firstLine="420" w:firstLineChars="200"/>
      <w:jc w:val="both"/>
    </w:pPr>
    <w:rPr>
      <w:rFonts w:ascii="Calibri" w:hAnsi="Calibri" w:eastAsia="宋体" w:cs="Times New Roman"/>
      <w:kern w:val="0"/>
      <w:sz w:val="28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12</Pages>
  <Words>3683</Words>
  <Characters>3959</Characters>
  <Lines>0</Lines>
  <Paragraphs>0</Paragraphs>
  <TotalTime>1</TotalTime>
  <ScaleCrop>false</ScaleCrop>
  <LinksUpToDate>false</LinksUpToDate>
  <CharactersWithSpaces>4796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2023-07-06T08:51:00Z</dcterms:created>
  <dc:creator>Administrator</dc:creator>
  <cp:lastModifiedBy>Administrator</cp:lastModifiedBy>
  <cp:lastPrinted>2024-06-28T07:41:00Z</cp:lastPrinted>
  <dcterms:modified xsi:type="dcterms:W3CDTF">2026-04-09T09:25:24Z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  <property fmtid="{D5CDD505-2E9C-101B-9397-08002B2CF9AE}" pid="3" name="ICV">
    <vt:lpwstr>F8256C90674B49EC86D23DC41ECAEF6D</vt:lpwstr>
  </property>
</Properties>
</file>